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76" w:rsidRDefault="005A4376" w:rsidP="00AA1B94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A4376" w:rsidRDefault="005A4376" w:rsidP="00AA1B94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4429A" w:rsidRDefault="008A131C" w:rsidP="00AA1B94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  <w:u w:val="single"/>
        </w:rPr>
        <w:t>CRONOGRAMA</w:t>
      </w:r>
      <w:r w:rsidR="003407B1" w:rsidRPr="00C25DAB">
        <w:rPr>
          <w:rFonts w:ascii="Arial" w:hAnsi="Arial" w:cs="Arial"/>
          <w:b/>
          <w:sz w:val="26"/>
          <w:szCs w:val="26"/>
          <w:u w:val="single"/>
        </w:rPr>
        <w:t xml:space="preserve"> PARA </w:t>
      </w:r>
      <w:r w:rsidR="00DA6C70" w:rsidRPr="00C25DAB">
        <w:rPr>
          <w:rFonts w:ascii="Arial" w:hAnsi="Arial" w:cs="Arial"/>
          <w:b/>
          <w:sz w:val="26"/>
          <w:szCs w:val="26"/>
          <w:u w:val="single"/>
        </w:rPr>
        <w:t>ELEIÇ</w:t>
      </w:r>
      <w:r w:rsidR="003407B1" w:rsidRPr="00C25DAB">
        <w:rPr>
          <w:rFonts w:ascii="Arial" w:hAnsi="Arial" w:cs="Arial"/>
          <w:b/>
          <w:sz w:val="26"/>
          <w:szCs w:val="26"/>
          <w:u w:val="single"/>
        </w:rPr>
        <w:t xml:space="preserve">ÕES </w:t>
      </w:r>
      <w:r w:rsidR="00BC33A3" w:rsidRPr="00C25DAB">
        <w:rPr>
          <w:rFonts w:ascii="Arial" w:hAnsi="Arial" w:cs="Arial"/>
          <w:b/>
          <w:sz w:val="26"/>
          <w:szCs w:val="26"/>
          <w:u w:val="single"/>
        </w:rPr>
        <w:t xml:space="preserve">DE </w:t>
      </w:r>
      <w:r w:rsidR="009739EB">
        <w:rPr>
          <w:rFonts w:ascii="Arial" w:hAnsi="Arial" w:cs="Arial"/>
          <w:b/>
          <w:sz w:val="26"/>
          <w:szCs w:val="26"/>
          <w:u w:val="single"/>
        </w:rPr>
        <w:t xml:space="preserve">DIRETOR E VICE-DIRETOR DA </w:t>
      </w:r>
    </w:p>
    <w:p w:rsidR="005F186C" w:rsidRDefault="009739EB" w:rsidP="00AA1B94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FEA-RP/USP</w:t>
      </w:r>
      <w:r w:rsidR="00C25DAB" w:rsidRPr="00C25DAB">
        <w:rPr>
          <w:rFonts w:ascii="Arial" w:hAnsi="Arial" w:cs="Arial"/>
          <w:b/>
          <w:sz w:val="26"/>
          <w:szCs w:val="26"/>
          <w:u w:val="single"/>
        </w:rPr>
        <w:t xml:space="preserve"> – </w:t>
      </w:r>
      <w:r w:rsidR="006A5C61">
        <w:rPr>
          <w:rFonts w:ascii="Arial" w:hAnsi="Arial" w:cs="Arial"/>
          <w:b/>
          <w:sz w:val="26"/>
          <w:szCs w:val="26"/>
          <w:u w:val="single"/>
        </w:rPr>
        <w:t>20</w:t>
      </w:r>
      <w:r w:rsidR="007514F1">
        <w:rPr>
          <w:rFonts w:ascii="Arial" w:hAnsi="Arial" w:cs="Arial"/>
          <w:b/>
          <w:sz w:val="26"/>
          <w:szCs w:val="26"/>
          <w:u w:val="single"/>
        </w:rPr>
        <w:t>22</w:t>
      </w:r>
    </w:p>
    <w:p w:rsidR="00F04576" w:rsidRDefault="00F04576" w:rsidP="00AA1B94">
      <w:pPr>
        <w:spacing w:before="60" w:after="60"/>
        <w:jc w:val="center"/>
        <w:rPr>
          <w:rFonts w:ascii="Arial" w:hAnsi="Arial" w:cs="Arial"/>
          <w:b/>
          <w:color w:val="FF0000"/>
          <w:sz w:val="20"/>
          <w:szCs w:val="26"/>
          <w:u w:val="single"/>
        </w:rPr>
      </w:pPr>
    </w:p>
    <w:p w:rsidR="005A4376" w:rsidRDefault="005A4376" w:rsidP="00AA1B94">
      <w:pPr>
        <w:spacing w:before="60" w:after="60"/>
        <w:jc w:val="center"/>
        <w:rPr>
          <w:rFonts w:ascii="Arial" w:hAnsi="Arial" w:cs="Arial"/>
          <w:b/>
          <w:color w:val="FF0000"/>
          <w:sz w:val="20"/>
          <w:szCs w:val="26"/>
          <w:u w:val="single"/>
        </w:rPr>
      </w:pP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04576" w:rsidRPr="00FC3D36" w:rsidTr="00F04576">
        <w:trPr>
          <w:trHeight w:val="300"/>
          <w:jc w:val="center"/>
        </w:trPr>
        <w:tc>
          <w:tcPr>
            <w:tcW w:w="280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</w:pPr>
          </w:p>
        </w:tc>
        <w:tc>
          <w:tcPr>
            <w:tcW w:w="280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0" w:type="dxa"/>
            <w:gridSpan w:val="7"/>
            <w:tcBorders>
              <w:left w:val="single" w:sz="12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>Junho</w:t>
            </w:r>
          </w:p>
        </w:tc>
      </w:tr>
      <w:tr w:rsidR="00F04576" w:rsidRPr="00F04576" w:rsidTr="00F04576">
        <w:trPr>
          <w:trHeight w:val="300"/>
          <w:jc w:val="center"/>
        </w:trPr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shd w:val="clear" w:color="auto" w:fill="323E4F" w:themeFill="text2" w:themeFillShade="B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</w:tr>
      <w:tr w:rsidR="00F04576" w:rsidRPr="00FC3D36" w:rsidTr="005A4376">
        <w:trPr>
          <w:trHeight w:val="300"/>
          <w:jc w:val="center"/>
        </w:trPr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0" w:type="dxa"/>
            <w:shd w:val="clear" w:color="auto" w:fill="0099CC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0" w:type="dxa"/>
            <w:shd w:val="clear" w:color="auto" w:fill="FF99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</w:tr>
      <w:tr w:rsidR="00F04576" w:rsidRPr="00FC3D36" w:rsidTr="00C1066D">
        <w:trPr>
          <w:trHeight w:val="300"/>
          <w:jc w:val="center"/>
        </w:trPr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0" w:type="dxa"/>
            <w:shd w:val="clear" w:color="auto" w:fill="808080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00" w:type="dxa"/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00" w:type="dxa"/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00" w:type="dxa"/>
            <w:shd w:val="clear" w:color="auto" w:fill="99FF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00" w:type="dxa"/>
            <w:shd w:val="clear" w:color="auto" w:fill="99FF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00" w:type="dxa"/>
            <w:shd w:val="clear" w:color="auto" w:fill="99FF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99FF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</w:tr>
      <w:tr w:rsidR="00F04576" w:rsidRPr="00FC3D36" w:rsidTr="00C1066D">
        <w:trPr>
          <w:trHeight w:val="300"/>
          <w:jc w:val="center"/>
        </w:trPr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00" w:type="dxa"/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00" w:type="dxa"/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00" w:type="dxa"/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00" w:type="dxa"/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00" w:type="dxa"/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99FF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00" w:type="dxa"/>
            <w:shd w:val="clear" w:color="auto" w:fill="99FF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00" w:type="dxa"/>
            <w:shd w:val="clear" w:color="auto" w:fill="99FF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00" w:type="dxa"/>
            <w:shd w:val="clear" w:color="auto" w:fill="99FF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00" w:type="dxa"/>
            <w:shd w:val="clear" w:color="auto" w:fill="99FF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00" w:type="dxa"/>
            <w:shd w:val="clear" w:color="auto" w:fill="99FF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00" w:type="dxa"/>
            <w:shd w:val="clear" w:color="auto" w:fill="CC66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00" w:type="dxa"/>
            <w:shd w:val="clear" w:color="auto" w:fill="800080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</w:tr>
      <w:tr w:rsidR="00F04576" w:rsidRPr="00FC3D36" w:rsidTr="005A4376">
        <w:trPr>
          <w:trHeight w:val="300"/>
          <w:jc w:val="center"/>
        </w:trPr>
        <w:tc>
          <w:tcPr>
            <w:tcW w:w="400" w:type="dxa"/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00" w:type="dxa"/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00" w:type="dxa"/>
            <w:shd w:val="clear" w:color="auto" w:fill="FFFFFF" w:themeFill="background1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00" w:type="dxa"/>
            <w:shd w:val="clear" w:color="auto" w:fill="99CC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00" w:type="dxa"/>
            <w:shd w:val="clear" w:color="auto" w:fill="99CC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00" w:type="dxa"/>
            <w:shd w:val="clear" w:color="auto" w:fill="99CC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99CC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00" w:type="dxa"/>
            <w:shd w:val="clear" w:color="auto" w:fill="99CC00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00" w:type="dxa"/>
            <w:shd w:val="clear" w:color="auto" w:fill="FFCC00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00" w:type="dxa"/>
            <w:shd w:val="clear" w:color="auto" w:fill="009999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04576" w:rsidRPr="00FC3D36" w:rsidTr="00C1066D">
        <w:trPr>
          <w:trHeight w:val="300"/>
          <w:jc w:val="center"/>
        </w:trPr>
        <w:tc>
          <w:tcPr>
            <w:tcW w:w="400" w:type="dxa"/>
            <w:shd w:val="clear" w:color="auto" w:fill="99CC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00" w:type="dxa"/>
            <w:shd w:val="clear" w:color="auto" w:fill="99CC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00" w:type="dxa"/>
            <w:shd w:val="clear" w:color="auto" w:fill="99CC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00" w:type="dxa"/>
            <w:shd w:val="clear" w:color="auto" w:fill="99CC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00" w:type="dxa"/>
            <w:shd w:val="clear" w:color="auto" w:fill="99CC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00" w:type="dxa"/>
            <w:shd w:val="clear" w:color="auto" w:fill="99CC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04576" w:rsidRPr="00FC3D36" w:rsidTr="00474504">
        <w:trPr>
          <w:trHeight w:val="300"/>
          <w:jc w:val="center"/>
        </w:trPr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5A4376" w:rsidRDefault="005A4376" w:rsidP="00F04576">
      <w:pPr>
        <w:rPr>
          <w:color w:val="FFFFFF" w:themeColor="background1"/>
        </w:rPr>
      </w:pPr>
    </w:p>
    <w:tbl>
      <w:tblPr>
        <w:tblW w:w="6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04576" w:rsidRPr="00FC3D36" w:rsidTr="00F04576">
        <w:trPr>
          <w:trHeight w:val="300"/>
          <w:jc w:val="center"/>
        </w:trPr>
        <w:tc>
          <w:tcPr>
            <w:tcW w:w="2800" w:type="dxa"/>
            <w:gridSpan w:val="7"/>
            <w:tcBorders>
              <w:right w:val="single" w:sz="12" w:space="0" w:color="auto"/>
            </w:tcBorders>
            <w:shd w:val="clear" w:color="auto" w:fill="8496B0" w:themeFill="text2" w:themeFillTint="99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0" w:type="dxa"/>
            <w:gridSpan w:val="7"/>
            <w:tcBorders>
              <w:left w:val="single" w:sz="12" w:space="0" w:color="auto"/>
            </w:tcBorders>
            <w:shd w:val="clear" w:color="auto" w:fill="8496B0" w:themeFill="text2" w:themeFillTint="99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>Agosto</w:t>
            </w:r>
          </w:p>
        </w:tc>
      </w:tr>
      <w:tr w:rsidR="00F04576" w:rsidRPr="00F04576" w:rsidTr="00F04576">
        <w:trPr>
          <w:trHeight w:val="300"/>
          <w:jc w:val="center"/>
        </w:trPr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400" w:type="dxa"/>
            <w:shd w:val="clear" w:color="auto" w:fill="323E4F" w:themeFill="text2" w:themeFillShade="B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</w:t>
            </w:r>
          </w:p>
        </w:tc>
      </w:tr>
      <w:tr w:rsidR="00F04576" w:rsidRPr="00FC3D36" w:rsidTr="00474504">
        <w:trPr>
          <w:trHeight w:val="300"/>
          <w:jc w:val="center"/>
        </w:trPr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</w:tr>
      <w:tr w:rsidR="00F04576" w:rsidRPr="00FC3D36" w:rsidTr="00474504">
        <w:trPr>
          <w:trHeight w:val="300"/>
          <w:jc w:val="center"/>
        </w:trPr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0457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F0457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</w:tr>
      <w:tr w:rsidR="00F04576" w:rsidRPr="00FC3D36" w:rsidTr="00474504">
        <w:trPr>
          <w:trHeight w:val="300"/>
          <w:jc w:val="center"/>
        </w:trPr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F04576" w:rsidRPr="00FC3D36" w:rsidTr="00474504">
        <w:trPr>
          <w:trHeight w:val="300"/>
          <w:jc w:val="center"/>
        </w:trPr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00" w:type="dxa"/>
            <w:shd w:val="clear" w:color="auto" w:fill="FF0000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</w:tr>
      <w:tr w:rsidR="00F04576" w:rsidRPr="00FC3D36" w:rsidTr="00474504">
        <w:trPr>
          <w:trHeight w:val="300"/>
          <w:jc w:val="center"/>
        </w:trPr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04576" w:rsidRPr="00FC3D36" w:rsidTr="00474504">
        <w:trPr>
          <w:trHeight w:val="300"/>
          <w:jc w:val="center"/>
        </w:trPr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F04576" w:rsidRPr="00FC3D36" w:rsidRDefault="00F04576" w:rsidP="00474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D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F04576" w:rsidRDefault="00F04576" w:rsidP="00AA1B94">
      <w:pPr>
        <w:spacing w:before="60" w:after="60"/>
        <w:jc w:val="center"/>
        <w:rPr>
          <w:rFonts w:ascii="Arial" w:hAnsi="Arial" w:cs="Arial"/>
          <w:b/>
          <w:color w:val="FF0000"/>
          <w:sz w:val="20"/>
          <w:szCs w:val="26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9"/>
        <w:gridCol w:w="9259"/>
      </w:tblGrid>
      <w:tr w:rsidR="005F186C" w:rsidRPr="00DF22C6" w:rsidTr="005A4376">
        <w:trPr>
          <w:trHeight w:val="340"/>
          <w:jc w:val="center"/>
        </w:trPr>
        <w:tc>
          <w:tcPr>
            <w:tcW w:w="369" w:type="dxa"/>
            <w:shd w:val="clear" w:color="auto" w:fill="808080" w:themeFill="background1" w:themeFillShade="80"/>
            <w:vAlign w:val="bottom"/>
          </w:tcPr>
          <w:p w:rsidR="005F186C" w:rsidRPr="00803FA5" w:rsidRDefault="005F186C" w:rsidP="00F045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9" w:type="dxa"/>
            <w:vAlign w:val="bottom"/>
          </w:tcPr>
          <w:p w:rsidR="005F186C" w:rsidRPr="00803FA5" w:rsidRDefault="005F186C" w:rsidP="00A34A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Divulgação da Portaria para eleição de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34A6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A34A6C">
              <w:rPr>
                <w:rFonts w:ascii="Arial" w:hAnsi="Arial" w:cs="Arial"/>
                <w:b/>
                <w:sz w:val="18"/>
                <w:szCs w:val="18"/>
              </w:rPr>
              <w:t>abril</w:t>
            </w:r>
          </w:p>
        </w:tc>
      </w:tr>
      <w:tr w:rsidR="005F186C" w:rsidRPr="00DF22C6" w:rsidTr="005A4376">
        <w:trPr>
          <w:trHeight w:val="340"/>
          <w:jc w:val="center"/>
        </w:trPr>
        <w:tc>
          <w:tcPr>
            <w:tcW w:w="369" w:type="dxa"/>
            <w:shd w:val="clear" w:color="auto" w:fill="99CCFF"/>
            <w:vAlign w:val="center"/>
          </w:tcPr>
          <w:p w:rsidR="005F186C" w:rsidRPr="00803FA5" w:rsidRDefault="005F186C" w:rsidP="005F186C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259" w:type="dxa"/>
            <w:vAlign w:val="bottom"/>
          </w:tcPr>
          <w:p w:rsidR="005F186C" w:rsidRPr="00803FA5" w:rsidRDefault="005F186C" w:rsidP="00C1066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Inscrições para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(10 dias) Professores Titulares e Associados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34A6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1066D">
              <w:rPr>
                <w:rFonts w:ascii="Arial" w:hAnsi="Arial" w:cs="Arial"/>
                <w:b/>
                <w:sz w:val="18"/>
                <w:szCs w:val="18"/>
              </w:rPr>
              <w:t xml:space="preserve"> a 29</w:t>
            </w:r>
            <w:r w:rsidR="009739EB"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A34A6C">
              <w:rPr>
                <w:rFonts w:ascii="Arial" w:hAnsi="Arial" w:cs="Arial"/>
                <w:b/>
                <w:sz w:val="18"/>
                <w:szCs w:val="18"/>
              </w:rPr>
              <w:t>abril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das 9h às 18h</w:t>
            </w:r>
          </w:p>
        </w:tc>
      </w:tr>
      <w:tr w:rsidR="00170E60" w:rsidRPr="00DF22C6" w:rsidTr="005A4376">
        <w:trPr>
          <w:trHeight w:val="340"/>
          <w:jc w:val="center"/>
        </w:trPr>
        <w:tc>
          <w:tcPr>
            <w:tcW w:w="369" w:type="dxa"/>
            <w:shd w:val="clear" w:color="auto" w:fill="0099CC"/>
            <w:vAlign w:val="center"/>
          </w:tcPr>
          <w:p w:rsidR="00170E60" w:rsidRPr="00803FA5" w:rsidRDefault="00170E60" w:rsidP="005F186C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259" w:type="dxa"/>
            <w:vAlign w:val="bottom"/>
          </w:tcPr>
          <w:p w:rsidR="00170E60" w:rsidRPr="00803FA5" w:rsidRDefault="00170E60" w:rsidP="00C1066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Divulgação das chapas inscritas para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1066D" w:rsidRPr="00C1066D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C1066D">
              <w:rPr>
                <w:rFonts w:ascii="Arial" w:hAnsi="Arial" w:cs="Arial"/>
                <w:b/>
                <w:sz w:val="18"/>
                <w:szCs w:val="18"/>
              </w:rPr>
              <w:t>maio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16h</w:t>
            </w:r>
          </w:p>
        </w:tc>
      </w:tr>
      <w:tr w:rsidR="005F186C" w:rsidRPr="00DF22C6" w:rsidTr="005A4376">
        <w:trPr>
          <w:trHeight w:val="340"/>
          <w:jc w:val="center"/>
        </w:trPr>
        <w:tc>
          <w:tcPr>
            <w:tcW w:w="369" w:type="dxa"/>
            <w:shd w:val="clear" w:color="auto" w:fill="99FF99"/>
            <w:vAlign w:val="center"/>
          </w:tcPr>
          <w:p w:rsidR="005F186C" w:rsidRPr="00803FA5" w:rsidRDefault="005F186C" w:rsidP="005F186C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259" w:type="dxa"/>
            <w:vAlign w:val="bottom"/>
          </w:tcPr>
          <w:p w:rsidR="005F186C" w:rsidRPr="00803FA5" w:rsidRDefault="005F186C" w:rsidP="00C1066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>Caso não haja registro de ao menos duas chapas serão prorrogadas as inscrições para</w:t>
            </w:r>
            <w:r w:rsidR="00AE5498">
              <w:rPr>
                <w:rFonts w:ascii="Arial" w:hAnsi="Arial" w:cs="Arial"/>
                <w:sz w:val="18"/>
                <w:szCs w:val="18"/>
              </w:rPr>
              <w:t xml:space="preserve"> Diretor e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(10 dias), aceitando candidaturas também de Professores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Associados 2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e 1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1066D" w:rsidRPr="00C1066D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6E60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2FE9" w:rsidRPr="002A5DE0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C1066D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0A2FE9"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6E60B7">
              <w:rPr>
                <w:rFonts w:ascii="Arial" w:hAnsi="Arial" w:cs="Arial"/>
                <w:b/>
                <w:sz w:val="18"/>
                <w:szCs w:val="18"/>
              </w:rPr>
              <w:t>maio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das 9h às 18h</w:t>
            </w:r>
          </w:p>
        </w:tc>
      </w:tr>
      <w:tr w:rsidR="00170E60" w:rsidRPr="00DF22C6" w:rsidTr="005A4376">
        <w:trPr>
          <w:trHeight w:val="340"/>
          <w:jc w:val="center"/>
        </w:trPr>
        <w:tc>
          <w:tcPr>
            <w:tcW w:w="369" w:type="dxa"/>
            <w:shd w:val="clear" w:color="auto" w:fill="99CC00"/>
            <w:vAlign w:val="center"/>
          </w:tcPr>
          <w:p w:rsidR="00170E60" w:rsidRPr="00803FA5" w:rsidRDefault="00170E60" w:rsidP="00170E60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259" w:type="dxa"/>
            <w:vAlign w:val="bottom"/>
          </w:tcPr>
          <w:p w:rsidR="00170E60" w:rsidRPr="00803FA5" w:rsidRDefault="00170E60" w:rsidP="006E60B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Divulgação das chapas inscritas para </w:t>
            </w:r>
            <w:r w:rsidR="00827FA1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E60B7" w:rsidRPr="006E60B7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827FA1"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6E60B7">
              <w:rPr>
                <w:rFonts w:ascii="Arial" w:hAnsi="Arial" w:cs="Arial"/>
                <w:b/>
                <w:sz w:val="18"/>
                <w:szCs w:val="18"/>
              </w:rPr>
              <w:t>maio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16h</w:t>
            </w:r>
          </w:p>
        </w:tc>
      </w:tr>
      <w:tr w:rsidR="00827FA1" w:rsidRPr="00DF22C6" w:rsidTr="005A4376">
        <w:trPr>
          <w:trHeight w:val="340"/>
          <w:jc w:val="center"/>
        </w:trPr>
        <w:tc>
          <w:tcPr>
            <w:tcW w:w="369" w:type="dxa"/>
            <w:shd w:val="clear" w:color="auto" w:fill="FF99FF"/>
            <w:vAlign w:val="center"/>
          </w:tcPr>
          <w:p w:rsidR="00827FA1" w:rsidRPr="00803FA5" w:rsidRDefault="00827FA1" w:rsidP="00170E60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259" w:type="dxa"/>
            <w:vAlign w:val="bottom"/>
          </w:tcPr>
          <w:p w:rsidR="00827FA1" w:rsidRPr="00803FA5" w:rsidRDefault="00827FA1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>Chefes de Departamento enviam à ATAc a lista de membros dos Conselhos dos respectivos Departamentos</w:t>
            </w:r>
            <w:r w:rsidR="00241FB9"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41FB9" w:rsidRPr="002A5DE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E60B7">
              <w:rPr>
                <w:rFonts w:ascii="Arial" w:hAnsi="Arial" w:cs="Arial"/>
                <w:b/>
                <w:sz w:val="18"/>
                <w:szCs w:val="18"/>
              </w:rPr>
              <w:t>3 de jun</w:t>
            </w:r>
            <w:r w:rsidR="00241FB9" w:rsidRPr="002A5DE0">
              <w:rPr>
                <w:rFonts w:ascii="Arial" w:hAnsi="Arial" w:cs="Arial"/>
                <w:b/>
                <w:sz w:val="18"/>
                <w:szCs w:val="18"/>
              </w:rPr>
              <w:t>ho</w:t>
            </w:r>
          </w:p>
        </w:tc>
      </w:tr>
      <w:tr w:rsidR="005A4376" w:rsidRPr="00DF22C6" w:rsidTr="00BD0BF8">
        <w:trPr>
          <w:trHeight w:val="340"/>
          <w:jc w:val="center"/>
        </w:trPr>
        <w:tc>
          <w:tcPr>
            <w:tcW w:w="369" w:type="dxa"/>
            <w:shd w:val="clear" w:color="auto" w:fill="CC66FF"/>
            <w:vAlign w:val="center"/>
          </w:tcPr>
          <w:p w:rsidR="005A4376" w:rsidRPr="00803FA5" w:rsidRDefault="005A4376" w:rsidP="00BD0BF8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259" w:type="dxa"/>
            <w:vAlign w:val="bottom"/>
          </w:tcPr>
          <w:p w:rsidR="005A4376" w:rsidRPr="00803FA5" w:rsidRDefault="005A4376" w:rsidP="00BD0BF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4376">
              <w:rPr>
                <w:rFonts w:ascii="Arial" w:hAnsi="Arial" w:cs="Arial"/>
                <w:sz w:val="18"/>
                <w:szCs w:val="18"/>
              </w:rPr>
              <w:t xml:space="preserve">Prestação de contas da gestão atual e debate das chapas deferidas – </w:t>
            </w:r>
            <w:r w:rsidRPr="005A4376">
              <w:rPr>
                <w:rFonts w:ascii="Arial" w:hAnsi="Arial" w:cs="Arial"/>
                <w:b/>
                <w:sz w:val="18"/>
                <w:szCs w:val="18"/>
              </w:rPr>
              <w:t>14 de junho</w:t>
            </w:r>
            <w:r w:rsidRPr="005A4376">
              <w:rPr>
                <w:rFonts w:ascii="Arial" w:hAnsi="Arial" w:cs="Arial"/>
                <w:sz w:val="18"/>
                <w:szCs w:val="18"/>
              </w:rPr>
              <w:t xml:space="preserve"> – 17h </w:t>
            </w:r>
          </w:p>
        </w:tc>
      </w:tr>
      <w:tr w:rsidR="00241FB9" w:rsidRPr="00DF22C6" w:rsidTr="005A4376">
        <w:trPr>
          <w:trHeight w:val="340"/>
          <w:jc w:val="center"/>
        </w:trPr>
        <w:tc>
          <w:tcPr>
            <w:tcW w:w="369" w:type="dxa"/>
            <w:shd w:val="clear" w:color="auto" w:fill="800080"/>
            <w:vAlign w:val="center"/>
          </w:tcPr>
          <w:p w:rsidR="00241FB9" w:rsidRPr="00803FA5" w:rsidRDefault="00241FB9" w:rsidP="00170E60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259" w:type="dxa"/>
            <w:vAlign w:val="bottom"/>
          </w:tcPr>
          <w:p w:rsidR="00241FB9" w:rsidRPr="00803FA5" w:rsidRDefault="00241FB9" w:rsidP="0047450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Eleitor impedido de votar informa por escrito à ATAc – 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7450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474504">
              <w:rPr>
                <w:rFonts w:ascii="Arial" w:hAnsi="Arial" w:cs="Arial"/>
                <w:b/>
                <w:sz w:val="18"/>
                <w:szCs w:val="18"/>
              </w:rPr>
              <w:t>junh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até às 18h</w:t>
            </w:r>
          </w:p>
        </w:tc>
      </w:tr>
      <w:tr w:rsidR="005A4376" w:rsidRPr="005A4376" w:rsidTr="005A4376">
        <w:trPr>
          <w:trHeight w:val="340"/>
          <w:jc w:val="center"/>
        </w:trPr>
        <w:tc>
          <w:tcPr>
            <w:tcW w:w="369" w:type="dxa"/>
            <w:shd w:val="clear" w:color="auto" w:fill="FFCC00"/>
            <w:vAlign w:val="bottom"/>
          </w:tcPr>
          <w:p w:rsidR="00FB2B6F" w:rsidRPr="005A4376" w:rsidRDefault="00FB2B6F" w:rsidP="00170E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59" w:type="dxa"/>
            <w:shd w:val="clear" w:color="auto" w:fill="auto"/>
            <w:vAlign w:val="bottom"/>
          </w:tcPr>
          <w:p w:rsidR="00FB2B6F" w:rsidRPr="005A4376" w:rsidRDefault="007F1FBD" w:rsidP="005A437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4376">
              <w:rPr>
                <w:rFonts w:ascii="Arial" w:hAnsi="Arial" w:cs="Arial"/>
                <w:sz w:val="18"/>
                <w:szCs w:val="18"/>
              </w:rPr>
              <w:t>Consulta à comunidade</w:t>
            </w:r>
            <w:r w:rsidR="00FB2B6F" w:rsidRPr="005A437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74504" w:rsidRPr="005A4376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FB2B6F" w:rsidRPr="005A4376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474504" w:rsidRPr="005A4376">
              <w:rPr>
                <w:rFonts w:ascii="Arial" w:hAnsi="Arial" w:cs="Arial"/>
                <w:b/>
                <w:sz w:val="18"/>
                <w:szCs w:val="18"/>
              </w:rPr>
              <w:t>junho</w:t>
            </w:r>
            <w:r w:rsidR="00AA1B94" w:rsidRPr="005A4376">
              <w:rPr>
                <w:rFonts w:ascii="Arial" w:hAnsi="Arial" w:cs="Arial"/>
                <w:sz w:val="18"/>
                <w:szCs w:val="18"/>
              </w:rPr>
              <w:t xml:space="preserve"> – 9h às 17h</w:t>
            </w:r>
          </w:p>
        </w:tc>
      </w:tr>
      <w:tr w:rsidR="005A4376" w:rsidRPr="005A4376" w:rsidTr="005A4376">
        <w:trPr>
          <w:trHeight w:val="340"/>
          <w:jc w:val="center"/>
        </w:trPr>
        <w:tc>
          <w:tcPr>
            <w:tcW w:w="369" w:type="dxa"/>
            <w:shd w:val="clear" w:color="auto" w:fill="009999"/>
            <w:vAlign w:val="bottom"/>
          </w:tcPr>
          <w:p w:rsidR="00170E60" w:rsidRPr="005A4376" w:rsidRDefault="00170E60" w:rsidP="00170E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59" w:type="dxa"/>
            <w:vAlign w:val="bottom"/>
          </w:tcPr>
          <w:p w:rsidR="00170E60" w:rsidRPr="005A4376" w:rsidRDefault="00170E60" w:rsidP="005A437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4376">
              <w:rPr>
                <w:rFonts w:ascii="Arial" w:hAnsi="Arial" w:cs="Arial"/>
                <w:sz w:val="18"/>
                <w:szCs w:val="18"/>
              </w:rPr>
              <w:t xml:space="preserve">Eleição </w:t>
            </w:r>
            <w:r w:rsidR="00FB2B6F" w:rsidRPr="005A4376">
              <w:rPr>
                <w:rFonts w:ascii="Arial" w:hAnsi="Arial" w:cs="Arial"/>
                <w:sz w:val="18"/>
                <w:szCs w:val="18"/>
              </w:rPr>
              <w:t>eletrônica para a escolha do</w:t>
            </w:r>
            <w:r w:rsidRPr="005A43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FBD" w:rsidRPr="005A4376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5A437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74504" w:rsidRPr="005A4376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5A4376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474504" w:rsidRPr="005A4376">
              <w:rPr>
                <w:rFonts w:ascii="Arial" w:hAnsi="Arial" w:cs="Arial"/>
                <w:b/>
                <w:sz w:val="18"/>
                <w:szCs w:val="18"/>
              </w:rPr>
              <w:t>junho</w:t>
            </w:r>
            <w:r w:rsidR="00186AF1" w:rsidRPr="005A4376">
              <w:rPr>
                <w:rFonts w:ascii="Arial" w:hAnsi="Arial" w:cs="Arial"/>
                <w:sz w:val="18"/>
                <w:szCs w:val="18"/>
              </w:rPr>
              <w:t xml:space="preserve"> – até às 9</w:t>
            </w:r>
            <w:r w:rsidR="00AA1B94" w:rsidRPr="005A4376">
              <w:rPr>
                <w:rFonts w:ascii="Arial" w:hAnsi="Arial" w:cs="Arial"/>
                <w:sz w:val="18"/>
                <w:szCs w:val="18"/>
              </w:rPr>
              <w:t>h: envio de e-mail para a vot</w:t>
            </w:r>
            <w:r w:rsidR="00186AF1" w:rsidRPr="005A4376">
              <w:rPr>
                <w:rFonts w:ascii="Arial" w:hAnsi="Arial" w:cs="Arial"/>
                <w:sz w:val="18"/>
                <w:szCs w:val="18"/>
              </w:rPr>
              <w:t>ação; 1º turno da eleição: das 9</w:t>
            </w:r>
            <w:r w:rsidR="00AA1B94" w:rsidRPr="005A4376">
              <w:rPr>
                <w:rFonts w:ascii="Arial" w:hAnsi="Arial" w:cs="Arial"/>
                <w:sz w:val="18"/>
                <w:szCs w:val="18"/>
              </w:rPr>
              <w:t>h às 12h; 2º turno da eleiçã</w:t>
            </w:r>
            <w:r w:rsidR="00186AF1" w:rsidRPr="005A4376">
              <w:rPr>
                <w:rFonts w:ascii="Arial" w:hAnsi="Arial" w:cs="Arial"/>
                <w:sz w:val="18"/>
                <w:szCs w:val="18"/>
              </w:rPr>
              <w:t>o (se necessário): das 14h às 17</w:t>
            </w:r>
            <w:r w:rsidR="005A4376" w:rsidRPr="005A4376">
              <w:rPr>
                <w:rFonts w:ascii="Arial" w:hAnsi="Arial" w:cs="Arial"/>
                <w:sz w:val="18"/>
                <w:szCs w:val="18"/>
              </w:rPr>
              <w:t>h; apuração: em seguida</w:t>
            </w:r>
          </w:p>
        </w:tc>
      </w:tr>
      <w:tr w:rsidR="00170E60" w:rsidRPr="00887581" w:rsidTr="005A4376">
        <w:trPr>
          <w:trHeight w:val="340"/>
          <w:jc w:val="center"/>
        </w:trPr>
        <w:tc>
          <w:tcPr>
            <w:tcW w:w="369" w:type="dxa"/>
            <w:shd w:val="clear" w:color="auto" w:fill="FF0000"/>
            <w:vAlign w:val="bottom"/>
          </w:tcPr>
          <w:p w:rsidR="00170E60" w:rsidRPr="00803FA5" w:rsidRDefault="00170E60" w:rsidP="00170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9" w:type="dxa"/>
            <w:vAlign w:val="bottom"/>
          </w:tcPr>
          <w:p w:rsidR="00170E60" w:rsidRPr="00803FA5" w:rsidRDefault="00170E60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Início do mandato </w:t>
            </w:r>
            <w:r w:rsidR="00FB2B6F" w:rsidRPr="00803FA5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740629" w:rsidRPr="00803FA5">
              <w:rPr>
                <w:rFonts w:ascii="Arial" w:hAnsi="Arial" w:cs="Arial"/>
                <w:sz w:val="18"/>
                <w:szCs w:val="18"/>
              </w:rPr>
              <w:t>Diretor</w:t>
            </w:r>
            <w:r w:rsidR="00474504">
              <w:rPr>
                <w:rFonts w:ascii="Arial" w:hAnsi="Arial" w:cs="Arial"/>
                <w:sz w:val="18"/>
                <w:szCs w:val="18"/>
              </w:rPr>
              <w:t xml:space="preserve"> e do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40629" w:rsidRPr="002A5DE0">
              <w:rPr>
                <w:rFonts w:ascii="Arial" w:hAnsi="Arial" w:cs="Arial"/>
                <w:b/>
                <w:sz w:val="18"/>
                <w:szCs w:val="18"/>
              </w:rPr>
              <w:t>23 de agosto</w:t>
            </w:r>
          </w:p>
        </w:tc>
      </w:tr>
    </w:tbl>
    <w:p w:rsidR="00271E1D" w:rsidRPr="00324808" w:rsidRDefault="00803FA5" w:rsidP="00324808">
      <w:pPr>
        <w:spacing w:before="240" w:after="0"/>
        <w:rPr>
          <w:rFonts w:ascii="Arial" w:hAnsi="Arial" w:cs="Arial"/>
          <w:sz w:val="16"/>
          <w:szCs w:val="20"/>
        </w:rPr>
      </w:pPr>
      <w:r w:rsidRPr="00324808">
        <w:rPr>
          <w:rFonts w:ascii="Arial" w:hAnsi="Arial" w:cs="Arial"/>
          <w:sz w:val="16"/>
          <w:szCs w:val="20"/>
          <w:u w:val="single"/>
        </w:rPr>
        <w:t>Observação</w:t>
      </w:r>
      <w:r w:rsidRPr="00324808">
        <w:rPr>
          <w:rFonts w:ascii="Arial" w:hAnsi="Arial" w:cs="Arial"/>
          <w:sz w:val="16"/>
          <w:szCs w:val="20"/>
        </w:rPr>
        <w:t>: Os docentes que exercerem as funções de Diretor(a), Vice-Diretor(a), Presidente e Vice-Presidente das Comissões mencionadas nos artigos 48 a 50 do Estatuto da USP, bem como as de Chefe e Vice-Chefe de Departamento, que se inscreverem como candidatos, deverão, a partir do pedido de inscrição, desincompatibilizar-se, afastando-se daquelas funções, em favor de seus substitutos, até o encerramento do processo eleitoral</w:t>
      </w:r>
      <w:r w:rsidR="00A34A6C" w:rsidRPr="00324808">
        <w:rPr>
          <w:rFonts w:ascii="Arial" w:hAnsi="Arial" w:cs="Arial"/>
          <w:sz w:val="16"/>
          <w:szCs w:val="20"/>
        </w:rPr>
        <w:t>.</w:t>
      </w:r>
    </w:p>
    <w:sectPr w:rsidR="00271E1D" w:rsidRPr="00324808" w:rsidSect="000E01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8A" w:rsidRDefault="0035138A" w:rsidP="00387A37">
      <w:pPr>
        <w:spacing w:after="0" w:line="240" w:lineRule="auto"/>
      </w:pPr>
      <w:r>
        <w:separator/>
      </w:r>
    </w:p>
  </w:endnote>
  <w:endnote w:type="continuationSeparator" w:id="0">
    <w:p w:rsidR="0035138A" w:rsidRDefault="0035138A" w:rsidP="0038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8A" w:rsidRDefault="0035138A" w:rsidP="00387A37">
      <w:pPr>
        <w:spacing w:after="0" w:line="240" w:lineRule="auto"/>
      </w:pPr>
      <w:r>
        <w:separator/>
      </w:r>
    </w:p>
  </w:footnote>
  <w:footnote w:type="continuationSeparator" w:id="0">
    <w:p w:rsidR="0035138A" w:rsidRDefault="0035138A" w:rsidP="00387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833"/>
    <w:multiLevelType w:val="hybridMultilevel"/>
    <w:tmpl w:val="F9049D32"/>
    <w:lvl w:ilvl="0" w:tplc="1B84F9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4112"/>
    <w:multiLevelType w:val="hybridMultilevel"/>
    <w:tmpl w:val="6E066AAA"/>
    <w:lvl w:ilvl="0" w:tplc="EDD250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C06E3"/>
    <w:multiLevelType w:val="hybridMultilevel"/>
    <w:tmpl w:val="9F9ED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5827"/>
    <w:multiLevelType w:val="multilevel"/>
    <w:tmpl w:val="2DFC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7"/>
    <w:rsid w:val="00006A13"/>
    <w:rsid w:val="00017D6F"/>
    <w:rsid w:val="000203A8"/>
    <w:rsid w:val="000733EA"/>
    <w:rsid w:val="000A2FE9"/>
    <w:rsid w:val="000A7A48"/>
    <w:rsid w:val="000E0141"/>
    <w:rsid w:val="00156137"/>
    <w:rsid w:val="00170E60"/>
    <w:rsid w:val="00186AF1"/>
    <w:rsid w:val="001A02D0"/>
    <w:rsid w:val="002108F7"/>
    <w:rsid w:val="00241FB9"/>
    <w:rsid w:val="00271E1D"/>
    <w:rsid w:val="002941D9"/>
    <w:rsid w:val="002A5DE0"/>
    <w:rsid w:val="002D2FCA"/>
    <w:rsid w:val="002E73C7"/>
    <w:rsid w:val="00312E8A"/>
    <w:rsid w:val="00324808"/>
    <w:rsid w:val="003407B1"/>
    <w:rsid w:val="0035138A"/>
    <w:rsid w:val="00366A9F"/>
    <w:rsid w:val="00387A37"/>
    <w:rsid w:val="00400EC9"/>
    <w:rsid w:val="00406C21"/>
    <w:rsid w:val="00433614"/>
    <w:rsid w:val="0046510B"/>
    <w:rsid w:val="00474504"/>
    <w:rsid w:val="004C55AB"/>
    <w:rsid w:val="005045B3"/>
    <w:rsid w:val="005609B3"/>
    <w:rsid w:val="005A4376"/>
    <w:rsid w:val="005C4B53"/>
    <w:rsid w:val="005F186C"/>
    <w:rsid w:val="00620B8B"/>
    <w:rsid w:val="00623A54"/>
    <w:rsid w:val="00624218"/>
    <w:rsid w:val="00632089"/>
    <w:rsid w:val="0066615F"/>
    <w:rsid w:val="006713C3"/>
    <w:rsid w:val="00695EF4"/>
    <w:rsid w:val="006A5C61"/>
    <w:rsid w:val="006A7CE0"/>
    <w:rsid w:val="006B1E54"/>
    <w:rsid w:val="006E60B7"/>
    <w:rsid w:val="00713B71"/>
    <w:rsid w:val="00714CE8"/>
    <w:rsid w:val="00734902"/>
    <w:rsid w:val="00740629"/>
    <w:rsid w:val="007514F1"/>
    <w:rsid w:val="00772320"/>
    <w:rsid w:val="007A5710"/>
    <w:rsid w:val="007C1EC7"/>
    <w:rsid w:val="007F1941"/>
    <w:rsid w:val="007F1FBD"/>
    <w:rsid w:val="007F450D"/>
    <w:rsid w:val="00803FA5"/>
    <w:rsid w:val="00827FA1"/>
    <w:rsid w:val="00883C52"/>
    <w:rsid w:val="00887581"/>
    <w:rsid w:val="008A131C"/>
    <w:rsid w:val="008B6CC3"/>
    <w:rsid w:val="00916CCE"/>
    <w:rsid w:val="00947A12"/>
    <w:rsid w:val="0097216C"/>
    <w:rsid w:val="009739EB"/>
    <w:rsid w:val="009A03EE"/>
    <w:rsid w:val="009B70E3"/>
    <w:rsid w:val="009D22AA"/>
    <w:rsid w:val="009F5973"/>
    <w:rsid w:val="00A34A6C"/>
    <w:rsid w:val="00A449DC"/>
    <w:rsid w:val="00AA1B94"/>
    <w:rsid w:val="00AD50C8"/>
    <w:rsid w:val="00AE5498"/>
    <w:rsid w:val="00B26E01"/>
    <w:rsid w:val="00B271B3"/>
    <w:rsid w:val="00B4429A"/>
    <w:rsid w:val="00BC33A3"/>
    <w:rsid w:val="00C1066D"/>
    <w:rsid w:val="00C25DAB"/>
    <w:rsid w:val="00C53450"/>
    <w:rsid w:val="00C679AC"/>
    <w:rsid w:val="00CA719E"/>
    <w:rsid w:val="00CB56F7"/>
    <w:rsid w:val="00CC51C7"/>
    <w:rsid w:val="00CE7B5C"/>
    <w:rsid w:val="00CF09E7"/>
    <w:rsid w:val="00CF674D"/>
    <w:rsid w:val="00D451E6"/>
    <w:rsid w:val="00D5037A"/>
    <w:rsid w:val="00D62F8F"/>
    <w:rsid w:val="00DA3CEE"/>
    <w:rsid w:val="00DA6C70"/>
    <w:rsid w:val="00DF22C6"/>
    <w:rsid w:val="00EA6323"/>
    <w:rsid w:val="00EF04FB"/>
    <w:rsid w:val="00F04576"/>
    <w:rsid w:val="00F3604F"/>
    <w:rsid w:val="00F7233D"/>
    <w:rsid w:val="00FA1F2E"/>
    <w:rsid w:val="00F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B555"/>
  <w15:docId w15:val="{3EAB163D-8442-4524-BCE4-7ADDD3D0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A37"/>
  </w:style>
  <w:style w:type="paragraph" w:styleId="Rodap">
    <w:name w:val="footer"/>
    <w:basedOn w:val="Normal"/>
    <w:link w:val="RodapChar"/>
    <w:uiPriority w:val="99"/>
    <w:unhideWhenUsed/>
    <w:rsid w:val="00387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A37"/>
  </w:style>
  <w:style w:type="table" w:styleId="Tabelacomgrade">
    <w:name w:val="Table Grid"/>
    <w:basedOn w:val="Tabelanormal"/>
    <w:uiPriority w:val="39"/>
    <w:rsid w:val="00DA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F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9A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7349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34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holiday-day">
    <w:name w:val="holiday-day"/>
    <w:basedOn w:val="Fontepargpadro"/>
    <w:rsid w:val="00F04576"/>
  </w:style>
  <w:style w:type="character" w:customStyle="1" w:styleId="holiday-weekday">
    <w:name w:val="holiday-weekday"/>
    <w:basedOn w:val="Fontepargpadro"/>
    <w:rsid w:val="00F0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755C-0E14-44A0-9DE6-D5964EA4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Manzan Ferreira</dc:creator>
  <cp:lastModifiedBy>Cristina Bernardi Lima</cp:lastModifiedBy>
  <cp:revision>3</cp:revision>
  <cp:lastPrinted>2018-05-02T17:42:00Z</cp:lastPrinted>
  <dcterms:created xsi:type="dcterms:W3CDTF">2022-03-25T11:39:00Z</dcterms:created>
  <dcterms:modified xsi:type="dcterms:W3CDTF">2022-03-25T11:44:00Z</dcterms:modified>
</cp:coreProperties>
</file>